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0AA292" w14:textId="77777777" w:rsidR="001077A3" w:rsidRDefault="001077A3"/>
    <w:p w14:paraId="6A0B7328" w14:textId="77777777" w:rsidR="001077A3" w:rsidRDefault="001077A3"/>
    <w:p w14:paraId="544DC79B" w14:textId="77777777" w:rsidR="001077A3" w:rsidRDefault="001077A3">
      <w:pPr>
        <w:pBdr>
          <w:top w:val="nil"/>
          <w:left w:val="nil"/>
          <w:bottom w:val="nil"/>
          <w:right w:val="nil"/>
          <w:between w:val="nil"/>
        </w:pBdr>
        <w:spacing w:before="0" w:after="480"/>
        <w:jc w:val="left"/>
        <w:rPr>
          <w:rFonts w:ascii="Arial" w:eastAsia="Arial" w:hAnsi="Arial" w:cs="Arial"/>
          <w:b/>
          <w:bCs/>
          <w:smallCaps/>
          <w:color w:val="000000"/>
          <w:sz w:val="26"/>
          <w:szCs w:val="26"/>
        </w:rPr>
      </w:pPr>
    </w:p>
    <w:p w14:paraId="46EF6BBC" w14:textId="77777777" w:rsidR="001077A3" w:rsidRDefault="00000000">
      <w:pPr>
        <w:pBdr>
          <w:top w:val="nil"/>
          <w:left w:val="nil"/>
          <w:bottom w:val="nil"/>
          <w:right w:val="nil"/>
          <w:between w:val="nil"/>
        </w:pBdr>
        <w:spacing w:before="0" w:after="480"/>
        <w:jc w:val="left"/>
        <w:rPr>
          <w:rFonts w:ascii="Arial" w:eastAsia="Arial" w:hAnsi="Arial" w:cs="Arial"/>
          <w:b/>
          <w:bCs/>
          <w:smallCaps/>
          <w:color w:val="000000"/>
          <w:sz w:val="26"/>
          <w:szCs w:val="26"/>
        </w:rPr>
      </w:pPr>
      <w:r>
        <w:rPr>
          <w:rFonts w:ascii="Arial" w:eastAsia="Arial" w:hAnsi="Arial" w:cs="Arial"/>
          <w:b/>
          <w:bCs/>
          <w:smallCaps/>
          <w:color w:val="000000"/>
          <w:sz w:val="26"/>
          <w:szCs w:val="26"/>
        </w:rPr>
        <w:t>on finance des solutions, rarement des transformations</w:t>
      </w:r>
    </w:p>
    <w:p w14:paraId="6A04F0BF" w14:textId="77777777" w:rsidR="001077A3" w:rsidRDefault="00000000">
      <w:pPr>
        <w:pBdr>
          <w:top w:val="nil"/>
          <w:left w:val="nil"/>
          <w:bottom w:val="nil"/>
          <w:right w:val="nil"/>
          <w:between w:val="nil"/>
        </w:pBdr>
        <w:rPr>
          <w:rFonts w:ascii="Arial" w:eastAsia="Arial" w:hAnsi="Arial" w:cs="Arial"/>
          <w:i/>
          <w:iCs/>
          <w:color w:val="000000"/>
        </w:rPr>
      </w:pPr>
      <w:r>
        <w:rPr>
          <w:rFonts w:ascii="Arial" w:eastAsia="Arial" w:hAnsi="Arial" w:cs="Arial"/>
          <w:i/>
          <w:iCs/>
          <w:color w:val="000000"/>
        </w:rPr>
        <w:t>L’innovation sociale ne manque pas de potentiel, elle manque de moyens. Des réponses durables existent sur les territoires, mais les financements actuels, souvent trop solutionnistes, empêchent les acteurs de construire ensemble les transformations nécessaires.</w:t>
      </w:r>
    </w:p>
    <w:p w14:paraId="5A94CD57" w14:textId="77777777" w:rsidR="001077A3" w:rsidRDefault="00000000">
      <w:pPr>
        <w:pBdr>
          <w:top w:val="nil"/>
          <w:left w:val="nil"/>
          <w:bottom w:val="nil"/>
          <w:right w:val="nil"/>
          <w:between w:val="nil"/>
        </w:pBdr>
        <w:rPr>
          <w:rFonts w:ascii="Arial" w:eastAsia="Arial" w:hAnsi="Arial" w:cs="Arial"/>
          <w:i/>
          <w:iCs/>
          <w:color w:val="000000"/>
        </w:rPr>
      </w:pPr>
      <w:r>
        <w:rPr>
          <w:rFonts w:ascii="Arial" w:eastAsia="Arial" w:hAnsi="Arial" w:cs="Arial"/>
          <w:i/>
          <w:iCs/>
          <w:color w:val="000000"/>
        </w:rPr>
        <w:t>Face à cette urgence, le 107 lance la campagne « Ouvrir les possibles » : pour passer du financement de solutions isolées à l'investissement de transformations systémiques.</w:t>
      </w:r>
    </w:p>
    <w:p w14:paraId="19966969" w14:textId="77777777" w:rsidR="001077A3" w:rsidRDefault="00000000">
      <w:pPr>
        <w:pBdr>
          <w:top w:val="nil"/>
          <w:left w:val="nil"/>
          <w:bottom w:val="nil"/>
          <w:right w:val="nil"/>
          <w:between w:val="nil"/>
        </w:pBdr>
        <w:rPr>
          <w:rFonts w:ascii="Arial" w:eastAsia="Arial" w:hAnsi="Arial" w:cs="Arial"/>
          <w:b/>
          <w:bCs/>
          <w:color w:val="000000"/>
          <w:sz w:val="22"/>
          <w:szCs w:val="22"/>
        </w:rPr>
      </w:pPr>
      <w:r>
        <w:rPr>
          <w:rFonts w:ascii="REM" w:eastAsia="REM" w:hAnsi="REM" w:cs="REM"/>
          <w:b/>
          <w:bCs/>
          <w:color w:val="000000"/>
          <w:sz w:val="22"/>
          <w:szCs w:val="22"/>
        </w:rPr>
        <w:t>🎥</w:t>
      </w:r>
      <w:r>
        <w:rPr>
          <w:rFonts w:ascii="Arial" w:eastAsia="Arial" w:hAnsi="Arial" w:cs="Arial"/>
          <w:b/>
          <w:bCs/>
          <w:color w:val="000000"/>
          <w:sz w:val="22"/>
          <w:szCs w:val="22"/>
        </w:rPr>
        <w:t xml:space="preserve"> </w:t>
      </w:r>
      <w:hyperlink r:id="rId7">
        <w:r>
          <w:rPr>
            <w:rFonts w:ascii="Arial" w:eastAsia="Arial" w:hAnsi="Arial" w:cs="Arial"/>
            <w:b/>
            <w:bCs/>
            <w:color w:val="1155CC"/>
            <w:sz w:val="22"/>
            <w:szCs w:val="22"/>
            <w:u w:val="single"/>
          </w:rPr>
          <w:t>Le plaidoyer en vidéo</w:t>
        </w:r>
      </w:hyperlink>
    </w:p>
    <w:p w14:paraId="3A569CB7" w14:textId="0A3ABAC9" w:rsidR="001077A3" w:rsidRDefault="00000000">
      <w:pPr>
        <w:keepNext/>
        <w:pBdr>
          <w:top w:val="nil"/>
          <w:left w:val="nil"/>
          <w:bottom w:val="nil"/>
          <w:right w:val="nil"/>
          <w:between w:val="nil"/>
        </w:pBdr>
        <w:spacing w:before="360"/>
        <w:jc w:val="left"/>
        <w:rPr>
          <w:rFonts w:ascii="Arial" w:eastAsia="Arial" w:hAnsi="Arial" w:cs="Arial"/>
          <w:b/>
          <w:bCs/>
          <w:color w:val="F9B104"/>
        </w:rPr>
      </w:pPr>
      <w:r>
        <w:rPr>
          <w:rFonts w:ascii="Arial" w:eastAsia="Arial" w:hAnsi="Arial" w:cs="Arial"/>
          <w:b/>
          <w:bCs/>
          <w:color w:val="F9B104"/>
        </w:rPr>
        <w:t>L’innovation sociale, un potentiel sous-financé</w:t>
      </w:r>
    </w:p>
    <w:p w14:paraId="27C6DB78" w14:textId="77777777" w:rsidR="001077A3" w:rsidRDefault="00000000">
      <w:pPr>
        <w:rPr>
          <w:rFonts w:ascii="Arial" w:eastAsia="Arial" w:hAnsi="Arial" w:cs="Arial"/>
        </w:rPr>
      </w:pPr>
      <w:r>
        <w:rPr>
          <w:rFonts w:ascii="Arial" w:eastAsia="Arial" w:hAnsi="Arial" w:cs="Arial"/>
        </w:rPr>
        <w:t xml:space="preserve">L'innovation sociale a gagné quelques points de notoriété ces 10 dernières années. Elle reste pourtant largement méconnue et mal comprise de la plupart des décideurs économiques et politiques. De ce fait, les financements qui lui sont alloués sont très insuffisants, mais aussi souvent inadaptés </w:t>
      </w:r>
      <w:proofErr w:type="gramStart"/>
      <w:r>
        <w:rPr>
          <w:rFonts w:ascii="Arial" w:eastAsia="Arial" w:hAnsi="Arial" w:cs="Arial"/>
        </w:rPr>
        <w:t>de par</w:t>
      </w:r>
      <w:proofErr w:type="gramEnd"/>
      <w:r>
        <w:rPr>
          <w:rFonts w:ascii="Arial" w:eastAsia="Arial" w:hAnsi="Arial" w:cs="Arial"/>
        </w:rPr>
        <w:t xml:space="preserve"> leur temporalité, leurs modalités et leurs critères. </w:t>
      </w:r>
    </w:p>
    <w:p w14:paraId="12DE4CE9" w14:textId="77777777" w:rsidR="001077A3" w:rsidRDefault="00000000">
      <w:pPr>
        <w:rPr>
          <w:rFonts w:ascii="Arial" w:eastAsia="Arial" w:hAnsi="Arial" w:cs="Arial"/>
        </w:rPr>
      </w:pPr>
      <w:r>
        <w:rPr>
          <w:rFonts w:ascii="Arial" w:eastAsia="Arial" w:hAnsi="Arial" w:cs="Arial"/>
        </w:rPr>
        <w:t>Et pourtant, les changements les plus puissants s'effectuent bien souvent à bas bruit. Ils nous concernent d'abord nous-mêmes dans nos façons de penser et d'agir. Ils reposent sur un ensemble de réponses. C'est précisément ce que les logiques actuelles de financement prennent encore trop rarement en compte.</w:t>
      </w:r>
    </w:p>
    <w:p w14:paraId="2E0A795C" w14:textId="77777777" w:rsidR="001077A3" w:rsidRDefault="00000000">
      <w:pPr>
        <w:keepNext/>
        <w:pBdr>
          <w:top w:val="nil"/>
          <w:left w:val="nil"/>
          <w:bottom w:val="nil"/>
          <w:right w:val="nil"/>
          <w:between w:val="nil"/>
        </w:pBdr>
        <w:spacing w:before="360"/>
        <w:jc w:val="left"/>
        <w:rPr>
          <w:rFonts w:ascii="Arial" w:eastAsia="Arial" w:hAnsi="Arial" w:cs="Arial"/>
          <w:b/>
          <w:bCs/>
          <w:color w:val="73C4EF"/>
        </w:rPr>
      </w:pPr>
      <w:r>
        <w:rPr>
          <w:rFonts w:ascii="Arial" w:eastAsia="Arial" w:hAnsi="Arial" w:cs="Arial"/>
          <w:b/>
          <w:bCs/>
          <w:color w:val="73C4EF"/>
        </w:rPr>
        <w:t>Ce que l’innovation sociale exige vraiment</w:t>
      </w:r>
    </w:p>
    <w:p w14:paraId="62DE8A2C" w14:textId="77777777" w:rsidR="001077A3" w:rsidRDefault="00000000">
      <w:pPr>
        <w:rPr>
          <w:rFonts w:ascii="Arial" w:eastAsia="Arial" w:hAnsi="Arial" w:cs="Arial"/>
        </w:rPr>
      </w:pPr>
      <w:r>
        <w:rPr>
          <w:rFonts w:ascii="Arial" w:eastAsia="Arial" w:hAnsi="Arial" w:cs="Arial"/>
        </w:rPr>
        <w:t>L'innovation sociale ne commence pas par une solution. Elle commence dès l'émergence : en comprenant une problématique à la lumière du vécu, de l'expérience et des connaissances de personnes d'horizons différents, et de la place que chacun occupe, y compris soi. Ce n'est donc pas une solution clé en main, mais un travail collectif qui repose sur les liens et la confiance que ces personnes tissent entre elles. Parce que c'est ensemble, et seulement ensemble, que des réponses durables peuvent naître.</w:t>
      </w:r>
    </w:p>
    <w:p w14:paraId="0E67AC54" w14:textId="77777777" w:rsidR="001077A3" w:rsidRDefault="00000000">
      <w:pPr>
        <w:rPr>
          <w:rFonts w:ascii="Arial" w:eastAsia="Arial" w:hAnsi="Arial" w:cs="Arial"/>
        </w:rPr>
      </w:pPr>
      <w:r>
        <w:rPr>
          <w:rFonts w:ascii="Arial" w:eastAsia="Arial" w:hAnsi="Arial" w:cs="Arial"/>
        </w:rPr>
        <w:t>Comme l'explique Eloi Laurent, il ne s'agit pas de simplement collaborer, en se répartissant des rôles et en avançant dans des cadres définis. Il s'agit de coopérer, en devenant co-auteurs d'une œuvre commune, dont personne ne détient seul la maîtrise. Coopérer, c'est reconnaître que l'on n'y arrivera pas seul. C'est se nourrir du regard des autres membres de son écosystème et le nourrir à son tour. C'est accueillir le désaccord et renoncer à une part de contrôle.</w:t>
      </w:r>
    </w:p>
    <w:p w14:paraId="3A4ACD09" w14:textId="77777777" w:rsidR="001077A3" w:rsidRDefault="00000000">
      <w:pPr>
        <w:rPr>
          <w:rFonts w:ascii="Arial" w:eastAsia="Arial" w:hAnsi="Arial" w:cs="Arial"/>
        </w:rPr>
      </w:pPr>
      <w:r>
        <w:rPr>
          <w:rFonts w:ascii="Arial" w:eastAsia="Arial" w:hAnsi="Arial" w:cs="Arial"/>
        </w:rPr>
        <w:t>Transformer un système en profondeur se fait dans la durée. Le temps long n'est pas un frein, c'est un levier. Il permet d'apprendre collectivement, d'observer les déplacements, de créer des systèmes plus robustes. Il ne ralentit pas l'action, il l'ambitionne.</w:t>
      </w:r>
    </w:p>
    <w:p w14:paraId="62A8A6C9" w14:textId="77777777" w:rsidR="001077A3" w:rsidRDefault="001077A3">
      <w:pPr>
        <w:rPr>
          <w:rFonts w:ascii="Arial" w:eastAsia="Arial" w:hAnsi="Arial" w:cs="Arial"/>
        </w:rPr>
      </w:pPr>
    </w:p>
    <w:p w14:paraId="7B136906" w14:textId="77777777" w:rsidR="001077A3" w:rsidRDefault="00000000">
      <w:pPr>
        <w:keepNext/>
        <w:pBdr>
          <w:top w:val="nil"/>
          <w:left w:val="nil"/>
          <w:bottom w:val="nil"/>
          <w:right w:val="nil"/>
          <w:between w:val="nil"/>
        </w:pBdr>
        <w:spacing w:before="360"/>
        <w:jc w:val="left"/>
        <w:rPr>
          <w:rFonts w:ascii="Arial" w:eastAsia="Arial" w:hAnsi="Arial" w:cs="Arial"/>
          <w:b/>
          <w:bCs/>
          <w:color w:val="312783"/>
        </w:rPr>
      </w:pPr>
      <w:r>
        <w:rPr>
          <w:rFonts w:ascii="Arial" w:eastAsia="Arial" w:hAnsi="Arial" w:cs="Arial"/>
          <w:b/>
          <w:bCs/>
          <w:color w:val="312783"/>
        </w:rPr>
        <w:t>Le 107 engage le débat </w:t>
      </w:r>
    </w:p>
    <w:p w14:paraId="32B0FC9F" w14:textId="77777777" w:rsidR="001077A3" w:rsidRDefault="00000000">
      <w:pPr>
        <w:rPr>
          <w:rFonts w:ascii="Arial" w:eastAsia="Arial" w:hAnsi="Arial" w:cs="Arial"/>
        </w:rPr>
      </w:pPr>
      <w:r>
        <w:rPr>
          <w:rFonts w:ascii="Arial" w:eastAsia="Arial" w:hAnsi="Arial" w:cs="Arial"/>
        </w:rPr>
        <w:t xml:space="preserve">C’est dans ce contexte que le 107, pôle d’innovation sociale et de coopération du territoire lyonnais lance pour la première fois une campagne de plaidoyer intitulée </w:t>
      </w:r>
      <w:r>
        <w:rPr>
          <w:rFonts w:ascii="Arial" w:eastAsia="Arial" w:hAnsi="Arial" w:cs="Arial"/>
          <w:i/>
          <w:iCs/>
        </w:rPr>
        <w:t>"Ouvrons les possibles : finançons l'innovation sociale"</w:t>
      </w:r>
      <w:r>
        <w:rPr>
          <w:rFonts w:ascii="Arial" w:eastAsia="Arial" w:hAnsi="Arial" w:cs="Arial"/>
        </w:rPr>
        <w:t>. </w:t>
      </w:r>
    </w:p>
    <w:p w14:paraId="4AD839C0" w14:textId="77777777" w:rsidR="001077A3" w:rsidRDefault="001077A3">
      <w:pPr>
        <w:rPr>
          <w:rFonts w:ascii="Arial" w:eastAsia="Arial" w:hAnsi="Arial" w:cs="Arial"/>
        </w:rPr>
      </w:pPr>
    </w:p>
    <w:p w14:paraId="642C5A5B" w14:textId="77777777" w:rsidR="001077A3" w:rsidRDefault="001077A3">
      <w:pPr>
        <w:rPr>
          <w:rFonts w:ascii="Arial" w:eastAsia="Arial" w:hAnsi="Arial" w:cs="Arial"/>
        </w:rPr>
      </w:pPr>
    </w:p>
    <w:p w14:paraId="14934C92" w14:textId="77777777" w:rsidR="001077A3" w:rsidRDefault="001077A3">
      <w:pPr>
        <w:rPr>
          <w:rFonts w:ascii="Arial" w:eastAsia="Arial" w:hAnsi="Arial" w:cs="Arial"/>
        </w:rPr>
      </w:pPr>
    </w:p>
    <w:p w14:paraId="762B5FD1" w14:textId="77777777" w:rsidR="00BC6699" w:rsidRDefault="00BC6699">
      <w:pPr>
        <w:rPr>
          <w:rFonts w:ascii="Arial" w:eastAsia="Arial" w:hAnsi="Arial" w:cs="Arial"/>
        </w:rPr>
      </w:pPr>
    </w:p>
    <w:p w14:paraId="3DAD578B" w14:textId="77777777" w:rsidR="00BC6699" w:rsidRDefault="00BC6699">
      <w:pPr>
        <w:rPr>
          <w:rFonts w:ascii="Arial" w:eastAsia="Arial" w:hAnsi="Arial" w:cs="Arial"/>
        </w:rPr>
      </w:pPr>
    </w:p>
    <w:p w14:paraId="71ED4C03" w14:textId="7907DCC5" w:rsidR="001077A3" w:rsidRDefault="00000000">
      <w:pPr>
        <w:rPr>
          <w:rFonts w:ascii="Arial" w:eastAsia="Arial" w:hAnsi="Arial" w:cs="Arial"/>
        </w:rPr>
      </w:pPr>
      <w:r>
        <w:rPr>
          <w:rFonts w:ascii="Arial" w:eastAsia="Arial" w:hAnsi="Arial" w:cs="Arial"/>
        </w:rPr>
        <w:t>Fort de plus de 10 ans d'expérience et d'une communauté de plus de 500 acteurs publics, privés, ESS et experts, le 107 choisit de porter publiquement ce débat.</w:t>
      </w:r>
    </w:p>
    <w:p w14:paraId="3789FA2A" w14:textId="77777777" w:rsidR="001077A3" w:rsidRDefault="00000000">
      <w:pPr>
        <w:keepNext/>
        <w:pBdr>
          <w:top w:val="nil"/>
          <w:left w:val="nil"/>
          <w:bottom w:val="nil"/>
          <w:right w:val="nil"/>
          <w:between w:val="nil"/>
        </w:pBdr>
        <w:spacing w:before="360"/>
        <w:jc w:val="left"/>
        <w:rPr>
          <w:rFonts w:ascii="Arial" w:eastAsia="Arial" w:hAnsi="Arial" w:cs="Arial"/>
          <w:b/>
          <w:bCs/>
          <w:color w:val="E84E0F"/>
        </w:rPr>
      </w:pPr>
      <w:r>
        <w:rPr>
          <w:rFonts w:ascii="Arial" w:eastAsia="Arial" w:hAnsi="Arial" w:cs="Arial"/>
          <w:b/>
          <w:bCs/>
          <w:color w:val="E84E0F"/>
        </w:rPr>
        <w:t>Sur le terrain : le labo d’innovation sociale logement des jeunes</w:t>
      </w:r>
    </w:p>
    <w:p w14:paraId="434EE676" w14:textId="77777777" w:rsidR="001077A3" w:rsidRDefault="00000000">
      <w:pPr>
        <w:rPr>
          <w:rFonts w:ascii="Arial" w:eastAsia="Arial" w:hAnsi="Arial" w:cs="Arial"/>
        </w:rPr>
      </w:pPr>
      <w:r>
        <w:rPr>
          <w:rFonts w:ascii="Arial" w:eastAsia="Arial" w:hAnsi="Arial" w:cs="Arial"/>
        </w:rPr>
        <w:t>Pour ancrer ce plaidoyer dans le concret, le 107 s'appuie sur l'expérience de son labo d'innovation sociale dédié à l'accès au logement des jeunes, lancé en 2025 sur la métropole lyonnaise.</w:t>
      </w:r>
    </w:p>
    <w:p w14:paraId="44EC2877" w14:textId="77777777" w:rsidR="001077A3" w:rsidRDefault="00000000">
      <w:pPr>
        <w:rPr>
          <w:rFonts w:ascii="Arial" w:eastAsia="Arial" w:hAnsi="Arial" w:cs="Arial"/>
        </w:rPr>
      </w:pPr>
      <w:r>
        <w:rPr>
          <w:rFonts w:ascii="Arial" w:eastAsia="Arial" w:hAnsi="Arial" w:cs="Arial"/>
        </w:rPr>
        <w:t>Le labo permet de vivre pleinement cette complexité : en se réunissant entre acteurs aux profils, aux rôles et aux contraintes très différentes, en mettant en lumière l'interdépendance des enjeux et des actions de chacun, en se libérant des approches solutionnistes et des logiques concurrentielles. Au 107, l'espace créé est un espace de dialogue et de temps long, pour engager les acteurs dans une réelle dynamique de coopération.</w:t>
      </w:r>
    </w:p>
    <w:p w14:paraId="32D930C7" w14:textId="77777777" w:rsidR="001077A3" w:rsidRDefault="00000000">
      <w:pPr>
        <w:rPr>
          <w:rFonts w:ascii="Arial" w:eastAsia="Arial" w:hAnsi="Arial" w:cs="Arial"/>
        </w:rPr>
      </w:pPr>
      <w:r>
        <w:rPr>
          <w:rFonts w:ascii="Arial" w:eastAsia="Arial" w:hAnsi="Arial" w:cs="Arial"/>
        </w:rPr>
        <w:t>Son ambition : tisser, à l'échelle de la métropole de Lyon, des réponses en capacité de garantir et préserver l'accès au logement digne et durable pour les jeunes sans filet de sécurité. Un cycle de quatre ans, parce que l'ambition est d'accompagner les acteurs à agir à plusieurs niveaux : celui des pratiques professionnelles, celui des coopérations entre acteurs hétérogènes, celui des représentations sur les jeunes et sur le logement, celui des modèles économiques et organisationnels.</w:t>
      </w:r>
    </w:p>
    <w:p w14:paraId="51310A13" w14:textId="77777777" w:rsidR="001077A3" w:rsidRDefault="00000000">
      <w:pPr>
        <w:rPr>
          <w:rFonts w:ascii="Arial" w:eastAsia="Arial" w:hAnsi="Arial" w:cs="Arial"/>
        </w:rPr>
      </w:pPr>
      <w:r>
        <w:rPr>
          <w:rFonts w:ascii="Arial" w:eastAsia="Arial" w:hAnsi="Arial" w:cs="Arial"/>
        </w:rPr>
        <w:t>La théorie du changement repose sur une hypothèse simple mais exigeante : si l'on crée, dans la durée, des espaces de coopération réelle, si l'on expérimente, que l'on évalue et que l'on ajuste collectivement, alors les capacités des acteurs évoluent et le système avec elles.</w:t>
      </w:r>
    </w:p>
    <w:p w14:paraId="615C5530" w14:textId="77777777" w:rsidR="001077A3" w:rsidRDefault="00000000">
      <w:pPr>
        <w:keepNext/>
        <w:pBdr>
          <w:top w:val="nil"/>
          <w:left w:val="nil"/>
          <w:bottom w:val="nil"/>
          <w:right w:val="nil"/>
          <w:between w:val="nil"/>
        </w:pBdr>
        <w:spacing w:before="360"/>
        <w:jc w:val="left"/>
        <w:rPr>
          <w:rFonts w:ascii="Arial" w:eastAsia="Arial" w:hAnsi="Arial" w:cs="Arial"/>
          <w:b/>
          <w:bCs/>
          <w:color w:val="312783"/>
        </w:rPr>
      </w:pPr>
      <w:r>
        <w:rPr>
          <w:rFonts w:ascii="Arial" w:eastAsia="Arial" w:hAnsi="Arial" w:cs="Arial"/>
          <w:b/>
          <w:bCs/>
          <w:color w:val="312783"/>
        </w:rPr>
        <w:t>Rejoindre le débat</w:t>
      </w:r>
    </w:p>
    <w:p w14:paraId="2E3D0DEC" w14:textId="77777777" w:rsidR="001077A3" w:rsidRDefault="00000000">
      <w:pPr>
        <w:rPr>
          <w:rFonts w:ascii="Arial" w:eastAsia="Arial" w:hAnsi="Arial" w:cs="Arial"/>
        </w:rPr>
      </w:pPr>
      <w:r>
        <w:rPr>
          <w:rFonts w:ascii="Arial" w:eastAsia="Arial" w:hAnsi="Arial" w:cs="Arial"/>
        </w:rPr>
        <w:t xml:space="preserve">Le 107 invite les financeurs publics et privés, les décideurs politiques et les acteurs du territoire à </w:t>
      </w:r>
      <w:proofErr w:type="spellStart"/>
      <w:r>
        <w:rPr>
          <w:rFonts w:ascii="Arial" w:eastAsia="Arial" w:hAnsi="Arial" w:cs="Arial"/>
        </w:rPr>
        <w:t>co-construire</w:t>
      </w:r>
      <w:proofErr w:type="spellEnd"/>
      <w:r>
        <w:rPr>
          <w:rFonts w:ascii="Arial" w:eastAsia="Arial" w:hAnsi="Arial" w:cs="Arial"/>
        </w:rPr>
        <w:t xml:space="preserve"> ensemble</w:t>
      </w:r>
      <w:r>
        <w:rPr>
          <w:rFonts w:ascii="Arial" w:eastAsia="Arial" w:hAnsi="Arial" w:cs="Arial"/>
          <w:b/>
          <w:bCs/>
        </w:rPr>
        <w:t xml:space="preserve"> </w:t>
      </w:r>
      <w:r>
        <w:rPr>
          <w:rFonts w:ascii="Arial" w:eastAsia="Arial" w:hAnsi="Arial" w:cs="Arial"/>
        </w:rPr>
        <w:t>cette nouvelle approche.</w:t>
      </w:r>
    </w:p>
    <w:p w14:paraId="774BD765" w14:textId="77777777" w:rsidR="001077A3" w:rsidRDefault="00000000">
      <w:pPr>
        <w:rPr>
          <w:rFonts w:ascii="Arial" w:eastAsia="Arial" w:hAnsi="Arial" w:cs="Arial"/>
        </w:rPr>
      </w:pPr>
      <w:r>
        <w:rPr>
          <w:rFonts w:ascii="Arial" w:eastAsia="Arial" w:hAnsi="Arial" w:cs="Arial"/>
        </w:rPr>
        <w:t>Notre ambition : dépasser les cadres de financement qui complexifient, rigidifient ou contrôlent. Expérimenter dans de bonnes conditions exige des ressources et des modalités adaptées.</w:t>
      </w:r>
    </w:p>
    <w:p w14:paraId="33933487" w14:textId="77777777" w:rsidR="001077A3" w:rsidRDefault="00000000">
      <w:pPr>
        <w:rPr>
          <w:rFonts w:ascii="Arial" w:eastAsia="Arial" w:hAnsi="Arial" w:cs="Arial"/>
        </w:rPr>
      </w:pPr>
      <w:r>
        <w:rPr>
          <w:rFonts w:ascii="Arial" w:eastAsia="Arial" w:hAnsi="Arial" w:cs="Arial"/>
        </w:rPr>
        <w:t>Nous souhaitons que les financeurs de l'innovation sociale ne soient pas de simples bailleurs, mais des partenaires engagés : pour apprendre, comprendre et s'impliquer concrètement dans les actions menées sur le terrain.</w:t>
      </w:r>
    </w:p>
    <w:p w14:paraId="3152FC08" w14:textId="77777777" w:rsidR="001077A3" w:rsidRDefault="00000000">
      <w:pPr>
        <w:rPr>
          <w:rFonts w:ascii="Arial" w:eastAsia="Arial" w:hAnsi="Arial" w:cs="Arial"/>
        </w:rPr>
      </w:pPr>
      <w:r>
        <w:rPr>
          <w:rFonts w:ascii="Arial" w:eastAsia="Arial" w:hAnsi="Arial" w:cs="Arial"/>
        </w:rPr>
        <w:t xml:space="preserve">C'est ensemble que nous pouvons </w:t>
      </w:r>
      <w:r>
        <w:rPr>
          <w:rFonts w:ascii="Arial" w:eastAsia="Arial" w:hAnsi="Arial" w:cs="Arial"/>
          <w:b/>
          <w:bCs/>
        </w:rPr>
        <w:t>ouvrir les possibles</w:t>
      </w:r>
      <w:r>
        <w:rPr>
          <w:rFonts w:ascii="Arial" w:eastAsia="Arial" w:hAnsi="Arial" w:cs="Arial"/>
        </w:rPr>
        <w:t>.</w:t>
      </w:r>
    </w:p>
    <w:p w14:paraId="579B8257" w14:textId="77777777" w:rsidR="001077A3" w:rsidRDefault="001077A3">
      <w:pPr>
        <w:rPr>
          <w:rFonts w:ascii="Arial" w:eastAsia="Arial" w:hAnsi="Arial" w:cs="Arial"/>
        </w:rPr>
      </w:pPr>
    </w:p>
    <w:p w14:paraId="03E42FBB" w14:textId="77777777" w:rsidR="001077A3" w:rsidRDefault="00000000">
      <w:pPr>
        <w:rPr>
          <w:rFonts w:ascii="Arial" w:eastAsia="Arial" w:hAnsi="Arial" w:cs="Arial"/>
          <w:b/>
          <w:bCs/>
          <w:color w:val="73C4EF"/>
        </w:rPr>
      </w:pPr>
      <w:r>
        <w:rPr>
          <w:rFonts w:ascii="Arial" w:eastAsia="Arial" w:hAnsi="Arial" w:cs="Arial"/>
          <w:b/>
          <w:bCs/>
          <w:color w:val="73C4EF"/>
        </w:rPr>
        <w:t>Proposition d’interviews et de témoignages </w:t>
      </w:r>
    </w:p>
    <w:p w14:paraId="6407D087" w14:textId="77777777" w:rsidR="001077A3" w:rsidRDefault="00000000">
      <w:r>
        <w:t xml:space="preserve">Les membres du labo logement sont disponibles pour des interviews et témoignages, pour échanger avec vous, témoigner de leur expérience et répondre à vos questions : </w:t>
      </w:r>
    </w:p>
    <w:p w14:paraId="1AD7C2B5" w14:textId="77777777" w:rsidR="001077A3" w:rsidRDefault="00000000">
      <w:r>
        <w:t>Anne-Sophie Thomas (</w:t>
      </w:r>
      <w:proofErr w:type="spellStart"/>
      <w:r>
        <w:t>Gestia</w:t>
      </w:r>
      <w:proofErr w:type="spellEnd"/>
      <w:r>
        <w:t xml:space="preserve"> Solidaire), David Rincon (Le 107), Luc Farez (CAPSO), Nathalie Brabant (l’Entreprise des possibles), Julie Viloing (</w:t>
      </w:r>
      <w:proofErr w:type="spellStart"/>
      <w:r>
        <w:t>Evolem</w:t>
      </w:r>
      <w:proofErr w:type="spellEnd"/>
      <w:r>
        <w:t xml:space="preserve"> Citoyen), Delphine Allarousse (Fondation de France), Sara Benayad (CLLAJ Lyon Métropole), Martina Giambi (Info Jeunes Lyon). </w:t>
      </w:r>
    </w:p>
    <w:p w14:paraId="1EAF7ECA" w14:textId="77777777" w:rsidR="00BC6699" w:rsidRDefault="00BC6699"/>
    <w:p w14:paraId="6255504D" w14:textId="2313C624" w:rsidR="001077A3" w:rsidRPr="00BC6699" w:rsidRDefault="00BC6699" w:rsidP="00BC6699">
      <w:pPr>
        <w:spacing w:before="100" w:beforeAutospacing="1"/>
        <w:rPr>
          <w:b/>
          <w:bCs/>
        </w:rPr>
      </w:pPr>
      <w:r w:rsidRPr="00BC6699">
        <w:rPr>
          <w:b/>
          <w:bCs/>
        </w:rPr>
        <w:t xml:space="preserve">CONTACT PRESSE </w:t>
      </w:r>
    </w:p>
    <w:p w14:paraId="1B79D0FC" w14:textId="12CF5ACD" w:rsidR="00BC6699" w:rsidRDefault="00BC6699" w:rsidP="00BC6699">
      <w:pPr>
        <w:spacing w:before="0"/>
      </w:pPr>
      <w:r>
        <w:t>Léa Dolymnyj, Chargée de communication</w:t>
      </w:r>
    </w:p>
    <w:p w14:paraId="6CB3FDF7" w14:textId="3C461631" w:rsidR="00BC6699" w:rsidRDefault="00BC6699" w:rsidP="00BC6699">
      <w:pPr>
        <w:spacing w:before="0"/>
      </w:pPr>
      <w:r>
        <w:t xml:space="preserve">06 76 80 96 07 </w:t>
      </w:r>
    </w:p>
    <w:p w14:paraId="2ADEC39D" w14:textId="038620DD" w:rsidR="001077A3" w:rsidRPr="00BC6699" w:rsidRDefault="00BC6699" w:rsidP="00BC6699">
      <w:pPr>
        <w:spacing w:before="0"/>
      </w:pPr>
      <w:r>
        <w:t>lea.dolymnyj@le-107.fr</w:t>
      </w:r>
    </w:p>
    <w:sectPr w:rsidR="001077A3" w:rsidRPr="00BC6699">
      <w:headerReference w:type="default" r:id="rId8"/>
      <w:pgSz w:w="11906" w:h="16838"/>
      <w:pgMar w:top="1440" w:right="1080" w:bottom="1440" w:left="108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B82C47" w14:textId="77777777" w:rsidR="002A26C0" w:rsidRDefault="002A26C0">
      <w:pPr>
        <w:spacing w:before="0"/>
      </w:pPr>
      <w:r>
        <w:separator/>
      </w:r>
    </w:p>
  </w:endnote>
  <w:endnote w:type="continuationSeparator" w:id="0">
    <w:p w14:paraId="2EEFCF64" w14:textId="77777777" w:rsidR="002A26C0" w:rsidRDefault="002A26C0">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embedRegular r:id="rId1" w:fontKey="{AF40BC08-B699-9343-8A1A-2E46EA03D275}"/>
    <w:embedBold r:id="rId2" w:fontKey="{FCCAA617-FC0F-7B42-87E2-8F5A53DD0BE4}"/>
    <w:embedItalic r:id="rId3" w:fontKey="{031D309E-6042-6F4A-B3BA-EBAE62E12B5E}"/>
  </w:font>
  <w:font w:name="Play">
    <w:charset w:val="00"/>
    <w:family w:val="auto"/>
    <w:pitch w:val="default"/>
    <w:embedRegular r:id="rId4" w:fontKey="{964420DD-5D01-894C-BD72-08BC23E37F41}"/>
  </w:font>
  <w:font w:name="Times New Roman">
    <w:panose1 w:val="02020603050405020304"/>
    <w:charset w:val="00"/>
    <w:family w:val="roman"/>
    <w:pitch w:val="variable"/>
    <w:sig w:usb0="E0002EFF" w:usb1="C000785B" w:usb2="00000009" w:usb3="00000000" w:csb0="000001FF" w:csb1="00000000"/>
    <w:embedRegular r:id="rId5" w:fontKey="{2B0F83E4-6077-B64B-AD3B-ABFBC7755886}"/>
  </w:font>
  <w:font w:name="Arial">
    <w:panose1 w:val="020B0604020202020204"/>
    <w:charset w:val="00"/>
    <w:family w:val="swiss"/>
    <w:pitch w:val="variable"/>
    <w:sig w:usb0="E0002AFF" w:usb1="C0007843" w:usb2="00000009" w:usb3="00000000" w:csb0="000001FF" w:csb1="00000000"/>
    <w:embedRegular r:id="rId6" w:fontKey="{EB45CD3D-26E7-9F4B-B029-3E664E2D33E3}"/>
    <w:embedBold r:id="rId7" w:fontKey="{7909B379-F323-CF4C-BC7D-638BFE36A8EF}"/>
    <w:embedItalic r:id="rId8" w:fontKey="{0C1A0581-C949-F34E-9E4D-0047DC4B055A}"/>
  </w:font>
  <w:font w:name="REM">
    <w:charset w:val="00"/>
    <w:family w:val="auto"/>
    <w:pitch w:val="default"/>
    <w:embedBold r:id="rId9" w:fontKey="{75EFC89F-03E9-E045-98BC-A4BFA54D0B48}"/>
  </w:font>
  <w:font w:name="Calibri">
    <w:panose1 w:val="020F0502020204030204"/>
    <w:charset w:val="00"/>
    <w:family w:val="swiss"/>
    <w:pitch w:val="variable"/>
    <w:sig w:usb0="E4002EFF" w:usb1="C200247B" w:usb2="00000009" w:usb3="00000000" w:csb0="000001FF" w:csb1="00000000"/>
    <w:embedRegular r:id="rId10" w:fontKey="{615F4274-0100-4648-9D29-163370D4D2A3}"/>
  </w:font>
  <w:font w:name="Cambria">
    <w:panose1 w:val="02040503050406030204"/>
    <w:charset w:val="00"/>
    <w:family w:val="roman"/>
    <w:pitch w:val="variable"/>
    <w:sig w:usb0="E00006FF" w:usb1="420024FF" w:usb2="02000000" w:usb3="00000000" w:csb0="0000019F" w:csb1="00000000"/>
    <w:embedRegular r:id="rId11" w:fontKey="{050E57AE-D429-7041-A924-CF28E2F0508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C8F29D" w14:textId="77777777" w:rsidR="002A26C0" w:rsidRDefault="002A26C0">
      <w:pPr>
        <w:spacing w:before="0"/>
      </w:pPr>
      <w:r>
        <w:separator/>
      </w:r>
    </w:p>
  </w:footnote>
  <w:footnote w:type="continuationSeparator" w:id="0">
    <w:p w14:paraId="34E1B2E3" w14:textId="77777777" w:rsidR="002A26C0" w:rsidRDefault="002A26C0">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8A7AE8" w14:textId="740DCA2E" w:rsidR="001077A3" w:rsidRDefault="00BC6699">
    <w:pPr>
      <w:pBdr>
        <w:top w:val="nil"/>
        <w:left w:val="nil"/>
        <w:bottom w:val="nil"/>
        <w:right w:val="nil"/>
        <w:between w:val="nil"/>
      </w:pBdr>
      <w:tabs>
        <w:tab w:val="center" w:pos="4536"/>
        <w:tab w:val="right" w:pos="9072"/>
      </w:tabs>
      <w:spacing w:before="0"/>
      <w:jc w:val="left"/>
      <w:rPr>
        <w:color w:val="000000"/>
        <w:sz w:val="2"/>
        <w:szCs w:val="2"/>
      </w:rPr>
    </w:pPr>
    <w:r>
      <w:rPr>
        <w:noProof/>
        <w:color w:val="000000"/>
        <w:sz w:val="2"/>
        <w:szCs w:val="2"/>
      </w:rPr>
      <w:drawing>
        <wp:anchor distT="0" distB="0" distL="114300" distR="114300" simplePos="0" relativeHeight="251659264" behindDoc="0" locked="0" layoutInCell="1" allowOverlap="1" wp14:anchorId="50124890" wp14:editId="56F493CC">
          <wp:simplePos x="0" y="0"/>
          <wp:positionH relativeFrom="column">
            <wp:posOffset>3810</wp:posOffset>
          </wp:positionH>
          <wp:positionV relativeFrom="paragraph">
            <wp:posOffset>0</wp:posOffset>
          </wp:positionV>
          <wp:extent cx="1508400" cy="1065600"/>
          <wp:effectExtent l="0" t="0" r="0" b="0"/>
          <wp:wrapThrough wrapText="bothSides">
            <wp:wrapPolygon edited="0">
              <wp:start x="3456" y="2060"/>
              <wp:lineTo x="2365" y="3347"/>
              <wp:lineTo x="2183" y="13130"/>
              <wp:lineTo x="2910" y="14932"/>
              <wp:lineTo x="2365" y="16219"/>
              <wp:lineTo x="2365" y="18021"/>
              <wp:lineTo x="3456" y="19309"/>
              <wp:lineTo x="14915" y="19309"/>
              <wp:lineTo x="16371" y="14932"/>
              <wp:lineTo x="17280" y="11328"/>
              <wp:lineTo x="15825" y="10813"/>
              <wp:lineTo x="12187" y="10813"/>
              <wp:lineTo x="19099" y="8496"/>
              <wp:lineTo x="19099" y="6436"/>
              <wp:lineTo x="10732" y="3604"/>
              <wp:lineTo x="7094" y="2060"/>
              <wp:lineTo x="3456" y="2060"/>
            </wp:wrapPolygon>
          </wp:wrapThrough>
          <wp:docPr id="65734721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347216" name="Image 657347216"/>
                  <pic:cNvPicPr/>
                </pic:nvPicPr>
                <pic:blipFill>
                  <a:blip r:embed="rId1">
                    <a:extLst>
                      <a:ext uri="{28A0092B-C50C-407E-A947-70E740481C1C}">
                        <a14:useLocalDpi xmlns:a14="http://schemas.microsoft.com/office/drawing/2010/main" val="0"/>
                      </a:ext>
                    </a:extLst>
                  </a:blip>
                  <a:stretch>
                    <a:fillRect/>
                  </a:stretch>
                </pic:blipFill>
                <pic:spPr>
                  <a:xfrm>
                    <a:off x="0" y="0"/>
                    <a:ext cx="1508400" cy="1065600"/>
                  </a:xfrm>
                  <a:prstGeom prst="rect">
                    <a:avLst/>
                  </a:prstGeom>
                </pic:spPr>
              </pic:pic>
            </a:graphicData>
          </a:graphic>
          <wp14:sizeRelH relativeFrom="margin">
            <wp14:pctWidth>0</wp14:pctWidth>
          </wp14:sizeRelH>
          <wp14:sizeRelV relativeFrom="margin">
            <wp14:pctHeight>0</wp14:pctHeight>
          </wp14:sizeRelV>
        </wp:anchor>
      </w:drawing>
    </w:r>
    <w:r w:rsidR="00000000">
      <w:rPr>
        <w:noProof/>
        <w:color w:val="000000"/>
        <w:sz w:val="2"/>
        <w:szCs w:val="2"/>
      </w:rPr>
      <w:drawing>
        <wp:anchor distT="0" distB="0" distL="0" distR="0" simplePos="0" relativeHeight="251658240" behindDoc="1" locked="0" layoutInCell="1" hidden="0" allowOverlap="1" wp14:anchorId="154A8D36" wp14:editId="6817FD46">
          <wp:simplePos x="0" y="0"/>
          <wp:positionH relativeFrom="page">
            <wp:posOffset>5953760</wp:posOffset>
          </wp:positionH>
          <wp:positionV relativeFrom="page">
            <wp:posOffset>118110</wp:posOffset>
          </wp:positionV>
          <wp:extent cx="1424940" cy="1429385"/>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424940" cy="1429385"/>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77A3"/>
    <w:rsid w:val="001077A3"/>
    <w:rsid w:val="002A26C0"/>
    <w:rsid w:val="00384027"/>
    <w:rsid w:val="00BC669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95D7AB"/>
  <w15:docId w15:val="{1B905646-FDEE-554F-B216-ACF88CF077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lang w:val="fr" w:eastAsia="fr-FR" w:bidi="ar-SA"/>
      </w:rPr>
    </w:rPrDefault>
    <w:pPrDefault>
      <w:pPr>
        <w:spacing w:before="20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360" w:after="80" w:line="278" w:lineRule="auto"/>
      <w:jc w:val="left"/>
      <w:outlineLvl w:val="0"/>
    </w:pPr>
    <w:rPr>
      <w:rFonts w:ascii="Play" w:eastAsia="Play" w:hAnsi="Play" w:cs="Play"/>
      <w:color w:val="0F4761"/>
      <w:sz w:val="40"/>
      <w:szCs w:val="40"/>
    </w:rPr>
  </w:style>
  <w:style w:type="paragraph" w:styleId="Titre2">
    <w:name w:val="heading 2"/>
    <w:basedOn w:val="Normal"/>
    <w:next w:val="Normal"/>
    <w:uiPriority w:val="9"/>
    <w:semiHidden/>
    <w:unhideWhenUsed/>
    <w:qFormat/>
    <w:pPr>
      <w:keepNext/>
      <w:keepLines/>
      <w:spacing w:before="160" w:after="80" w:line="278" w:lineRule="auto"/>
      <w:jc w:val="left"/>
      <w:outlineLvl w:val="1"/>
    </w:pPr>
    <w:rPr>
      <w:rFonts w:ascii="Play" w:eastAsia="Play" w:hAnsi="Play" w:cs="Play"/>
      <w:color w:val="0F4761"/>
      <w:sz w:val="32"/>
      <w:szCs w:val="32"/>
    </w:rPr>
  </w:style>
  <w:style w:type="paragraph" w:styleId="Titre3">
    <w:name w:val="heading 3"/>
    <w:basedOn w:val="Normal"/>
    <w:next w:val="Normal"/>
    <w:uiPriority w:val="9"/>
    <w:semiHidden/>
    <w:unhideWhenUsed/>
    <w:qFormat/>
    <w:pPr>
      <w:keepNext/>
      <w:keepLines/>
      <w:spacing w:before="160" w:after="80" w:line="278" w:lineRule="auto"/>
      <w:jc w:val="left"/>
      <w:outlineLvl w:val="2"/>
    </w:pPr>
    <w:rPr>
      <w:color w:val="0F4761"/>
      <w:sz w:val="28"/>
      <w:szCs w:val="28"/>
    </w:rPr>
  </w:style>
  <w:style w:type="paragraph" w:styleId="Titre4">
    <w:name w:val="heading 4"/>
    <w:basedOn w:val="Normal"/>
    <w:next w:val="Normal"/>
    <w:uiPriority w:val="9"/>
    <w:semiHidden/>
    <w:unhideWhenUsed/>
    <w:qFormat/>
    <w:pPr>
      <w:keepNext/>
      <w:keepLines/>
      <w:spacing w:before="80" w:after="40" w:line="278" w:lineRule="auto"/>
      <w:jc w:val="left"/>
      <w:outlineLvl w:val="3"/>
    </w:pPr>
    <w:rPr>
      <w:i/>
      <w:iCs/>
      <w:color w:val="0F4761"/>
      <w:sz w:val="24"/>
      <w:szCs w:val="24"/>
    </w:rPr>
  </w:style>
  <w:style w:type="paragraph" w:styleId="Titre5">
    <w:name w:val="heading 5"/>
    <w:basedOn w:val="Normal"/>
    <w:next w:val="Normal"/>
    <w:uiPriority w:val="9"/>
    <w:semiHidden/>
    <w:unhideWhenUsed/>
    <w:qFormat/>
    <w:pPr>
      <w:keepNext/>
      <w:keepLines/>
      <w:spacing w:before="80" w:after="40" w:line="278" w:lineRule="auto"/>
      <w:jc w:val="left"/>
      <w:outlineLvl w:val="4"/>
    </w:pPr>
    <w:rPr>
      <w:color w:val="0F4761"/>
      <w:sz w:val="24"/>
      <w:szCs w:val="24"/>
    </w:rPr>
  </w:style>
  <w:style w:type="paragraph" w:styleId="Titre6">
    <w:name w:val="heading 6"/>
    <w:basedOn w:val="Normal"/>
    <w:next w:val="Normal"/>
    <w:uiPriority w:val="9"/>
    <w:semiHidden/>
    <w:unhideWhenUsed/>
    <w:qFormat/>
    <w:pPr>
      <w:keepNext/>
      <w:keepLines/>
      <w:spacing w:before="40" w:line="278" w:lineRule="auto"/>
      <w:jc w:val="left"/>
      <w:outlineLvl w:val="5"/>
    </w:pPr>
    <w:rPr>
      <w:i/>
      <w:iCs/>
      <w:color w:val="595959"/>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uiPriority w:val="10"/>
    <w:qFormat/>
    <w:pPr>
      <w:spacing w:before="0" w:after="80"/>
      <w:jc w:val="left"/>
    </w:pPr>
    <w:rPr>
      <w:rFonts w:ascii="Play" w:eastAsia="Play" w:hAnsi="Play" w:cs="Play"/>
      <w:sz w:val="56"/>
      <w:szCs w:val="56"/>
    </w:rPr>
  </w:style>
  <w:style w:type="paragraph" w:styleId="Sous-titre">
    <w:name w:val="Subtitle"/>
    <w:basedOn w:val="Normal"/>
    <w:next w:val="Normal"/>
    <w:uiPriority w:val="11"/>
    <w:qFormat/>
    <w:pPr>
      <w:spacing w:before="0" w:after="160" w:line="278" w:lineRule="auto"/>
      <w:jc w:val="left"/>
    </w:pPr>
    <w:rPr>
      <w:color w:val="595959"/>
      <w:sz w:val="28"/>
      <w:szCs w:val="28"/>
    </w:rPr>
  </w:style>
  <w:style w:type="table" w:customStyle="1" w:styleId="a">
    <w:basedOn w:val="TableNormal"/>
    <w:tblPr>
      <w:tblStyleRowBandSize w:val="1"/>
      <w:tblStyleColBandSize w:val="1"/>
      <w:tblCellMar>
        <w:top w:w="28" w:type="dxa"/>
        <w:left w:w="57" w:type="dxa"/>
        <w:bottom w:w="28" w:type="dxa"/>
        <w:right w:w="57" w:type="dxa"/>
      </w:tblCellMar>
    </w:tblPr>
  </w:style>
  <w:style w:type="paragraph" w:styleId="En-tte">
    <w:name w:val="header"/>
    <w:basedOn w:val="Normal"/>
    <w:link w:val="En-tteCar"/>
    <w:uiPriority w:val="99"/>
    <w:unhideWhenUsed/>
    <w:rsid w:val="00BC6699"/>
    <w:pPr>
      <w:tabs>
        <w:tab w:val="center" w:pos="4536"/>
        <w:tab w:val="right" w:pos="9072"/>
      </w:tabs>
      <w:spacing w:before="0"/>
    </w:pPr>
  </w:style>
  <w:style w:type="character" w:customStyle="1" w:styleId="En-tteCar">
    <w:name w:val="En-tête Car"/>
    <w:basedOn w:val="Policepardfaut"/>
    <w:link w:val="En-tte"/>
    <w:uiPriority w:val="99"/>
    <w:rsid w:val="00BC6699"/>
  </w:style>
  <w:style w:type="paragraph" w:styleId="Pieddepage">
    <w:name w:val="footer"/>
    <w:basedOn w:val="Normal"/>
    <w:link w:val="PieddepageCar"/>
    <w:uiPriority w:val="99"/>
    <w:unhideWhenUsed/>
    <w:rsid w:val="00BC6699"/>
    <w:pPr>
      <w:tabs>
        <w:tab w:val="center" w:pos="4536"/>
        <w:tab w:val="right" w:pos="9072"/>
      </w:tabs>
      <w:spacing w:before="0"/>
    </w:pPr>
  </w:style>
  <w:style w:type="character" w:customStyle="1" w:styleId="PieddepageCar">
    <w:name w:val="Pied de page Car"/>
    <w:basedOn w:val="Policepardfaut"/>
    <w:link w:val="Pieddepage"/>
    <w:uiPriority w:val="99"/>
    <w:rsid w:val="00BC66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youtube.com/watch?v=wANa24GGPDY"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0AxtqtfdFTxozzW18n3JekXkNuw==">CgMxLjA4AHIhMTBrYklQa3hLRy1wMkdBb2FUX0prUzRuZGhONnR2VGFN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Pages>
  <Words>870</Words>
  <Characters>4787</Characters>
  <Application>Microsoft Office Word</Application>
  <DocSecurity>0</DocSecurity>
  <Lines>39</Lines>
  <Paragraphs>11</Paragraphs>
  <ScaleCrop>false</ScaleCrop>
  <Company/>
  <LinksUpToDate>false</LinksUpToDate>
  <CharactersWithSpaces>5646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Léa Dolymnyj</cp:lastModifiedBy>
  <cp:revision>2</cp:revision>
  <dcterms:created xsi:type="dcterms:W3CDTF">2026-04-16T14:06:00Z</dcterms:created>
  <dcterms:modified xsi:type="dcterms:W3CDTF">2026-04-16T14:10:00Z</dcterms:modified>
</cp:coreProperties>
</file>